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E8" w:rsidRDefault="00CE10E8" w:rsidP="00CE10E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06060" cy="838835"/>
            <wp:effectExtent l="0" t="0" r="8890" b="0"/>
            <wp:docPr id="11" name="Рисунок 11" descr="https://proxy.imgsmail.ru?e=1661408457&amp;email=imeturoran%40mail.ru&amp;flags=0&amp;h=LE3vWK3XkAtWIdkKIud93g&amp;is_https=1&amp;url173=c2hhcmUxLmNsb3VkaHEtbWt0My5uZXQvMjg0ZDIxMGJjNDlkNjc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xy.imgsmail.ru?e=1661408457&amp;email=imeturoran%40mail.ru&amp;flags=0&amp;h=LE3vWK3XkAtWIdkKIud93g&amp;is_https=1&amp;url173=c2hhcmUxLmNsb3VkaHEtbWt0My5uZXQvMjg0ZDIxMGJjNDlkNjcuanBlZw~~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E8" w:rsidRDefault="00CE10E8" w:rsidP="00CE10E8">
      <w:pPr>
        <w:pStyle w:val="a3"/>
        <w:spacing w:after="240" w:afterAutospacing="0"/>
      </w:pPr>
      <w:r>
        <w:rPr>
          <w:b/>
          <w:bCs/>
          <w:sz w:val="36"/>
          <w:szCs w:val="36"/>
          <w:shd w:val="clear" w:color="auto" w:fill="FFFF99"/>
        </w:rPr>
        <w:br/>
      </w:r>
      <w:r>
        <w:rPr>
          <w:rStyle w:val="a4"/>
          <w:sz w:val="36"/>
          <w:szCs w:val="36"/>
          <w:shd w:val="clear" w:color="auto" w:fill="FFFF99"/>
        </w:rPr>
        <w:t xml:space="preserve">15 августа 2022 г. </w:t>
      </w:r>
    </w:p>
    <w:p w:rsidR="00CE10E8" w:rsidRDefault="00CE10E8" w:rsidP="00CE10E8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Вступили в диалог</w:t>
      </w:r>
      <w:r>
        <w:rPr>
          <w:color w:val="993366"/>
          <w:sz w:val="36"/>
          <w:szCs w:val="36"/>
        </w:rPr>
        <w:t xml:space="preserve"> </w:t>
      </w:r>
    </w:p>
    <w:p w:rsidR="00CE10E8" w:rsidRDefault="00CE10E8" w:rsidP="00CE10E8">
      <w:pPr>
        <w:pStyle w:val="a3"/>
      </w:pPr>
      <w:r>
        <w:rPr>
          <w:noProof/>
        </w:rPr>
        <w:drawing>
          <wp:inline distT="0" distB="0" distL="0" distR="0">
            <wp:extent cx="4135120" cy="1962785"/>
            <wp:effectExtent l="0" t="0" r="0" b="0"/>
            <wp:docPr id="5" name="Рисунок 5" descr="https://proxy.imgsmail.ru?e=1661408457&amp;email=imeturoran%40mail.ru&amp;flags=0&amp;h=2Dd9Ac1kg3kbme_fAzwJlA&amp;is_https=1&amp;url173=c2hhcmUxLmNsb3VkaHEtbWt0My5uZXQvMjhmZDMzNDhkMTMyYzA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xy.imgsmail.ru?e=1661408457&amp;email=imeturoran%40mail.ru&amp;flags=0&amp;h=2Dd9Ac1kg3kbme_fAzwJlA&amp;is_https=1&amp;url173=c2hhcmUxLmNsb3VkaHEtbWt0My5uZXQvMjhmZDMzNDhkMTMyYzAuanBlZw~~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E8" w:rsidRDefault="00CE10E8" w:rsidP="00CE10E8">
      <w:pPr>
        <w:pStyle w:val="a3"/>
      </w:pPr>
      <w:proofErr w:type="gramStart"/>
      <w:r>
        <w:t xml:space="preserve">Заместитель генерального директора – начальник Управления программ и проектов Российского научного фонда А.Н. Блинов и начальник отдела организации экспертизы РНФ Д.С. </w:t>
      </w:r>
      <w:proofErr w:type="spellStart"/>
      <w:r>
        <w:t>Пыталев</w:t>
      </w:r>
      <w:proofErr w:type="spellEnd"/>
      <w:r>
        <w:t xml:space="preserve"> в личной беседе ответили на вопросы представителей Профсоюза работников РАН, поставленные  </w:t>
      </w:r>
      <w:hyperlink r:id="rId7" w:tgtFrame="_blank" w:history="1">
        <w:r>
          <w:rPr>
            <w:rStyle w:val="a5"/>
          </w:rPr>
          <w:t xml:space="preserve">в </w:t>
        </w:r>
        <w:r>
          <w:rPr>
            <w:rStyle w:val="a4"/>
            <w:color w:val="0000FF"/>
            <w:u w:val="single"/>
          </w:rPr>
          <w:t>письме Молодежной комиссии профсоюза</w:t>
        </w:r>
        <w:r>
          <w:rPr>
            <w:rStyle w:val="a5"/>
          </w:rPr>
          <w:t xml:space="preserve"> </w:t>
        </w:r>
      </w:hyperlink>
      <w:r>
        <w:rPr>
          <w:rStyle w:val="a4"/>
        </w:rPr>
        <w:t>.</w:t>
      </w:r>
      <w:r>
        <w:t xml:space="preserve"> В основном разговор касался организации молодежных конкурсов РНФ и перспектив расширения данной линейки, но предсказуемо распространился на систему экспертизы и другие</w:t>
      </w:r>
      <w:proofErr w:type="gramEnd"/>
      <w:r>
        <w:t xml:space="preserve"> аспекты деятельности Фонда. </w:t>
      </w:r>
    </w:p>
    <w:p w:rsidR="00CE10E8" w:rsidRDefault="00CE10E8" w:rsidP="00CE10E8">
      <w:pPr>
        <w:pStyle w:val="a3"/>
      </w:pPr>
      <w:r>
        <w:t xml:space="preserve">Предложения профсоюзной молодежи были услышаны. Оказалось, что ряд подобных инициатив в РНФ уже реализуется, а некоторые пожелания  не могут быть приняты из-за существующих уставных ограничений. Общее мнение – финансирование исследований должно увеличиваться, причем в основном базовое, </w:t>
      </w:r>
      <w:proofErr w:type="spellStart"/>
      <w:r>
        <w:t>грантовыми</w:t>
      </w:r>
      <w:proofErr w:type="spellEnd"/>
      <w:r>
        <w:t xml:space="preserve"> программами, как идеально их не организуй, проблему повышения эффективности науки не решить. </w:t>
      </w:r>
    </w:p>
    <w:p w:rsidR="00CE10E8" w:rsidRDefault="00CE10E8" w:rsidP="00CE10E8">
      <w:pPr>
        <w:pStyle w:val="a3"/>
      </w:pPr>
      <w:r>
        <w:t xml:space="preserve">Стороны договорились продолжить диалог в рабочем порядке.   </w:t>
      </w:r>
    </w:p>
    <w:p w:rsidR="00CE10E8" w:rsidRDefault="00CE10E8" w:rsidP="00CE10E8">
      <w:pPr>
        <w:pStyle w:val="a3"/>
      </w:pPr>
      <w:hyperlink r:id="rId8" w:tgtFrame="_blank" w:history="1">
        <w:r>
          <w:rPr>
            <w:rStyle w:val="a5"/>
            <w:b/>
            <w:bCs/>
          </w:rPr>
          <w:t xml:space="preserve">Информация о встрече на сайте ИОПХ </w:t>
        </w:r>
        <w:proofErr w:type="spellStart"/>
        <w:r>
          <w:rPr>
            <w:rStyle w:val="a5"/>
            <w:b/>
            <w:bCs/>
          </w:rPr>
          <w:t>КазНЦ</w:t>
        </w:r>
        <w:proofErr w:type="spellEnd"/>
        <w:r>
          <w:rPr>
            <w:rStyle w:val="a5"/>
            <w:b/>
            <w:bCs/>
          </w:rPr>
          <w:t xml:space="preserve"> </w:t>
        </w:r>
      </w:hyperlink>
      <w:r>
        <w:t xml:space="preserve">  </w:t>
      </w:r>
    </w:p>
    <w:p w:rsidR="00CE10E8" w:rsidRDefault="00CE10E8" w:rsidP="00CE10E8">
      <w:pPr>
        <w:pStyle w:val="a3"/>
      </w:pPr>
      <w:r>
        <w:t xml:space="preserve">Подробности – в дальнейших публикациях. </w:t>
      </w:r>
    </w:p>
    <w:p w:rsidR="00CE10E8" w:rsidRDefault="00CE10E8" w:rsidP="00CE10E8">
      <w:r>
        <w:pict>
          <v:rect id="_x0000_i1025" style="width:0;height:1.5pt" o:hralign="center" o:hrstd="t" o:hr="t" fillcolor="#a0a0a0" stroked="f"/>
        </w:pict>
      </w:r>
    </w:p>
    <w:p w:rsidR="00CE10E8" w:rsidRDefault="00CE10E8" w:rsidP="00CE10E8">
      <w:pPr>
        <w:pStyle w:val="a3"/>
        <w:jc w:val="center"/>
      </w:pPr>
      <w:r>
        <w:rPr>
          <w:rStyle w:val="a4"/>
          <w:color w:val="993366"/>
          <w:sz w:val="36"/>
          <w:szCs w:val="36"/>
        </w:rPr>
        <w:lastRenderedPageBreak/>
        <w:t>За бюджет!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743200" cy="2743200"/>
            <wp:effectExtent l="0" t="0" r="0" b="0"/>
            <wp:docPr id="4" name="Рисунок 4" descr="https://proxy.imgsmail.ru?e=1661408457&amp;email=imeturoran%40mail.ru&amp;flags=0&amp;h=p5-jEQWRKlovy4lbhQfwjA&amp;is_https=1&amp;url173=c2hhcmUxLmNsb3VkaHEtbWt0My5uZXQvNDZkNzBkY2I2MmI2NzA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xy.imgsmail.ru?e=1661408457&amp;email=imeturoran%40mail.ru&amp;flags=0&amp;h=p5-jEQWRKlovy4lbhQfwjA&amp;is_https=1&amp;url173=c2hhcmUxLmNsb3VkaHEtbWt0My5uZXQvNDZkNzBkY2I2MmI2NzAuanBlZw~~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E8" w:rsidRDefault="00CE10E8" w:rsidP="00CE10E8">
      <w:pPr>
        <w:pStyle w:val="a3"/>
      </w:pPr>
      <w:hyperlink r:id="rId10" w:tgtFrame="_blank" w:history="1">
        <w:r>
          <w:rPr>
            <w:rStyle w:val="a4"/>
            <w:color w:val="0000FF"/>
            <w:u w:val="single"/>
          </w:rPr>
          <w:t>Академический профсоюз выступил против сокращения бюджета науки</w:t>
        </w:r>
        <w:r>
          <w:rPr>
            <w:rStyle w:val="a5"/>
          </w:rPr>
          <w:t xml:space="preserve"> </w:t>
        </w:r>
      </w:hyperlink>
    </w:p>
    <w:p w:rsidR="00CE10E8" w:rsidRDefault="00CE10E8" w:rsidP="00CE10E8">
      <w:r>
        <w:pict>
          <v:rect id="_x0000_i1026" style="width:0;height:1.5pt" o:hralign="center" o:hrstd="t" o:hr="t" fillcolor="#a0a0a0" stroked="f"/>
        </w:pict>
      </w:r>
    </w:p>
    <w:p w:rsidR="00CE10E8" w:rsidRDefault="00CE10E8" w:rsidP="00CE10E8">
      <w:pPr>
        <w:pStyle w:val="a3"/>
      </w:pPr>
      <w:r>
        <w:t xml:space="preserve">Нижегородская и Екатеринбургская организации профсоюза получили ответ на </w:t>
      </w:r>
      <w:hyperlink r:id="rId11" w:tgtFrame="_blank" w:history="1">
        <w:r>
          <w:rPr>
            <w:rStyle w:val="a4"/>
            <w:color w:val="0000FF"/>
            <w:u w:val="single"/>
          </w:rPr>
          <w:t>письмо в Минфин</w:t>
        </w:r>
        <w:r>
          <w:rPr>
            <w:rStyle w:val="a5"/>
          </w:rPr>
          <w:t xml:space="preserve"> </w:t>
        </w:r>
      </w:hyperlink>
      <w:r>
        <w:t xml:space="preserve">по поводу готовящегося сокращения расходов на госпрограмму Научно-технологическое развитие РФ. </w:t>
      </w:r>
      <w:hyperlink r:id="rId12" w:tgtFrame="_blank" w:history="1">
        <w:r>
          <w:rPr>
            <w:rStyle w:val="a4"/>
            <w:color w:val="0000FF"/>
            <w:u w:val="single"/>
          </w:rPr>
          <w:t>Документ за подписью  заместителя директора Департамента бюджетной политики в отраслях социальной сферы и науки</w:t>
        </w:r>
        <w:r>
          <w:rPr>
            <w:rStyle w:val="a5"/>
          </w:rPr>
          <w:t xml:space="preserve"> </w:t>
        </w:r>
      </w:hyperlink>
      <w:r>
        <w:t xml:space="preserve">выполнен в </w:t>
      </w:r>
      <w:proofErr w:type="gramStart"/>
      <w:r>
        <w:t>стиле</w:t>
      </w:r>
      <w:proofErr w:type="gramEnd"/>
      <w:r>
        <w:t xml:space="preserve"> «а к нам </w:t>
      </w:r>
      <w:proofErr w:type="gramStart"/>
      <w:r>
        <w:t>какие</w:t>
      </w:r>
      <w:proofErr w:type="gramEnd"/>
      <w:r>
        <w:t xml:space="preserve"> вопросы», но содержит и полезную информацию. </w:t>
      </w:r>
    </w:p>
    <w:p w:rsidR="00CE10E8" w:rsidRDefault="00CE10E8" w:rsidP="00CE10E8">
      <w:pPr>
        <w:pStyle w:val="a3"/>
      </w:pPr>
      <w:r>
        <w:t xml:space="preserve">Представитель Минфина подчеркивает, что объем госпрограммы исходно предполагалось наращивать, а что теперь будет - не известно. Это решает не Минфин. </w:t>
      </w:r>
    </w:p>
    <w:p w:rsidR="00CE10E8" w:rsidRDefault="00CE10E8" w:rsidP="00CE10E8">
      <w:pPr>
        <w:pStyle w:val="a3"/>
      </w:pPr>
      <w:r>
        <w:rPr>
          <w:rStyle w:val="a8"/>
        </w:rPr>
        <w:t xml:space="preserve">«Окончательные параметры финансового обеспечения ГП НТР будут определены после рассмотрения </w:t>
      </w:r>
      <w:r>
        <w:rPr>
          <w:rStyle w:val="a4"/>
          <w:i/>
          <w:iCs/>
        </w:rPr>
        <w:t>Госдумой</w:t>
      </w:r>
      <w:r>
        <w:rPr>
          <w:rStyle w:val="a8"/>
        </w:rPr>
        <w:t xml:space="preserve"> </w:t>
      </w:r>
      <w:proofErr w:type="spellStart"/>
      <w:r>
        <w:rPr>
          <w:rStyle w:val="a4"/>
          <w:i/>
          <w:iCs/>
        </w:rPr>
        <w:t>РФ</w:t>
      </w:r>
      <w:r>
        <w:rPr>
          <w:rStyle w:val="a8"/>
        </w:rPr>
        <w:t>проекта</w:t>
      </w:r>
      <w:proofErr w:type="spellEnd"/>
      <w:r>
        <w:rPr>
          <w:rStyle w:val="a8"/>
        </w:rPr>
        <w:t xml:space="preserve"> ФЗ «О федеральном бюджете на 2023 год и на плановый период 2024 и 2025 годов»</w:t>
      </w:r>
      <w:proofErr w:type="gramStart"/>
      <w:r>
        <w:rPr>
          <w:rStyle w:val="a8"/>
        </w:rPr>
        <w:t xml:space="preserve"> </w:t>
      </w:r>
      <w:r>
        <w:t>.</w:t>
      </w:r>
      <w:proofErr w:type="gramEnd"/>
      <w:r>
        <w:t xml:space="preserve"> </w:t>
      </w:r>
    </w:p>
    <w:p w:rsidR="00CE10E8" w:rsidRDefault="00CE10E8" w:rsidP="00CE10E8">
      <w:pPr>
        <w:pStyle w:val="a3"/>
      </w:pPr>
      <w:r>
        <w:rPr>
          <w:rStyle w:val="a8"/>
        </w:rPr>
        <w:t xml:space="preserve">«Функции по координации деятельности федеральных органов исполнительной власти по вопросам, связанным с обеспечением соблюдения основных принципов формирования и реализации государственной научно-технической политики, и рассмотрению вопросов планирования расходов на осуществление научных исследований и разработок возложены на </w:t>
      </w:r>
      <w:r>
        <w:rPr>
          <w:rStyle w:val="a4"/>
          <w:i/>
          <w:iCs/>
        </w:rPr>
        <w:t>Комиссию по научно-технологическому развитию РФ</w:t>
      </w:r>
      <w:r>
        <w:rPr>
          <w:rStyle w:val="a8"/>
        </w:rPr>
        <w:t>»</w:t>
      </w:r>
      <w:proofErr w:type="gramStart"/>
      <w:r>
        <w:rPr>
          <w:rStyle w:val="a8"/>
        </w:rPr>
        <w:t xml:space="preserve"> </w:t>
      </w:r>
      <w:r>
        <w:t>.</w:t>
      </w:r>
      <w:proofErr w:type="gramEnd"/>
      <w:r>
        <w:t xml:space="preserve"> </w:t>
      </w:r>
    </w:p>
    <w:p w:rsidR="00CE10E8" w:rsidRDefault="00CE10E8" w:rsidP="00CE10E8">
      <w:pPr>
        <w:pStyle w:val="a3"/>
      </w:pPr>
      <w:r>
        <w:t xml:space="preserve">И вообще, если что, сами виноваты, плохо работаете. </w:t>
      </w:r>
    </w:p>
    <w:p w:rsidR="00CE10E8" w:rsidRDefault="00CE10E8" w:rsidP="00CE10E8">
      <w:pPr>
        <w:pStyle w:val="a3"/>
      </w:pPr>
      <w:r>
        <w:rPr>
          <w:rStyle w:val="a8"/>
        </w:rPr>
        <w:t xml:space="preserve">«Стратегией научно-технологического развития РФ предусмотрено достижение к 2035 году паритета затрат на исследования и разработки и доведение их до уровня не менее 2% ВВП. При этом в настоящее время более 65% в структуре внутренних затрат на исследования и разработки составляют ассигнования федерального бюджета. Таким образом, вопрос наращивания объемов финансовых вложений в сферу исследований и разработок должен рассматриваться за счет более активного привлечения внебюджетных источников и средств организаций реального сектора экономики </w:t>
      </w:r>
      <w:r>
        <w:rPr>
          <w:rStyle w:val="a8"/>
        </w:rPr>
        <w:lastRenderedPageBreak/>
        <w:t xml:space="preserve">(квалифицированных заказчиков), являющихся конечными потребителями результатов таких исследований». </w:t>
      </w:r>
    </w:p>
    <w:p w:rsidR="00CE10E8" w:rsidRDefault="00CE10E8" w:rsidP="00CE10E8">
      <w:pPr>
        <w:pStyle w:val="a3"/>
      </w:pPr>
      <w:r>
        <w:t xml:space="preserve">Да вот только </w:t>
      </w:r>
      <w:hyperlink r:id="rId13" w:tgtFrame="_blank" w:history="1">
        <w:r>
          <w:rPr>
            <w:rStyle w:val="a4"/>
            <w:color w:val="0000FF"/>
            <w:u w:val="single"/>
          </w:rPr>
          <w:t>свежие данные ВШ</w:t>
        </w:r>
        <w:r>
          <w:rPr>
            <w:rStyle w:val="a5"/>
          </w:rPr>
          <w:t xml:space="preserve">Э </w:t>
        </w:r>
      </w:hyperlink>
      <w:r>
        <w:t xml:space="preserve">в очередной раз подтверждают: государство до сих пор так и не смогло заинтересовать бизнес в инновациях.  </w:t>
      </w:r>
    </w:p>
    <w:p w:rsidR="00CE10E8" w:rsidRDefault="00CE10E8" w:rsidP="00CE10E8">
      <w:r>
        <w:pict>
          <v:rect id="_x0000_i1027" style="width:0;height:1.5pt" o:hralign="center" o:hrstd="t" o:hr="t" fillcolor="#a0a0a0" stroked="f"/>
        </w:pict>
      </w:r>
    </w:p>
    <w:p w:rsidR="00CE10E8" w:rsidRDefault="00CE10E8" w:rsidP="00CE10E8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Навстречу выборам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3115945" cy="2078990"/>
            <wp:effectExtent l="0" t="0" r="8255" b="0"/>
            <wp:docPr id="3" name="Рисунок 3" descr="https://proxy.imgsmail.ru?e=1661408457&amp;email=imeturoran%40mail.ru&amp;flags=0&amp;h=XOmd6yxXCgibcyXAK7mC3Q&amp;is_https=1&amp;url173=c2hhcmUxLmNsb3VkaHEtbWt0My5uZXQvNzE1YzFhNWFhYjNiNWI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xy.imgsmail.ru?e=1661408457&amp;email=imeturoran%40mail.ru&amp;flags=0&amp;h=XOmd6yxXCgibcyXAK7mC3Q&amp;is_https=1&amp;url173=c2hhcmUxLmNsb3VkaHEtbWt0My5uZXQvNzE1YzFhNWFhYjNiNWIuanBlZw~~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E8" w:rsidRDefault="00CE10E8" w:rsidP="00CE10E8">
      <w:pPr>
        <w:pStyle w:val="a3"/>
      </w:pPr>
      <w:r>
        <w:t xml:space="preserve">Высказался еще один кандидат в Президенты РАН.  </w:t>
      </w:r>
    </w:p>
    <w:p w:rsidR="00CE10E8" w:rsidRDefault="00CE10E8" w:rsidP="00CE10E8">
      <w:pPr>
        <w:pStyle w:val="a3"/>
      </w:pPr>
      <w:hyperlink r:id="rId15" w:tgtFrame="_blank" w:history="1">
        <w:r>
          <w:rPr>
            <w:rStyle w:val="a4"/>
            <w:color w:val="0000FF"/>
            <w:u w:val="single"/>
          </w:rPr>
          <w:t xml:space="preserve">Роберт </w:t>
        </w:r>
        <w:proofErr w:type="spellStart"/>
        <w:r>
          <w:rPr>
            <w:rStyle w:val="a4"/>
            <w:color w:val="0000FF"/>
            <w:u w:val="single"/>
          </w:rPr>
          <w:t>Нигматулин</w:t>
        </w:r>
        <w:proofErr w:type="spellEnd"/>
        <w:r>
          <w:rPr>
            <w:rStyle w:val="a4"/>
            <w:color w:val="0000FF"/>
            <w:u w:val="single"/>
          </w:rPr>
          <w:t>: «Президент академии наук должен быть государственным деятелем»</w:t>
        </w:r>
        <w:r>
          <w:rPr>
            <w:rStyle w:val="a5"/>
          </w:rPr>
          <w:t xml:space="preserve"> </w:t>
        </w:r>
      </w:hyperlink>
    </w:p>
    <w:p w:rsidR="00CE10E8" w:rsidRDefault="00CE10E8" w:rsidP="00CE10E8">
      <w:r>
        <w:pict>
          <v:rect id="_x0000_i1028" style="width:0;height:1.5pt" o:hralign="center" o:hrstd="t" o:hr="t" fillcolor="#a0a0a0" stroked="f"/>
        </w:pict>
      </w:r>
    </w:p>
    <w:p w:rsidR="00CE10E8" w:rsidRDefault="00CE10E8" w:rsidP="00CE10E8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В планах не значатся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1904365" cy="1904365"/>
            <wp:effectExtent l="0" t="0" r="635" b="635"/>
            <wp:docPr id="2" name="Рисунок 2" descr="https://proxy.imgsmail.ru?e=1661408457&amp;email=imeturoran%40mail.ru&amp;flags=0&amp;h=d7y_bjPA6ghXPFhO1CCODg&amp;is_https=1&amp;url173=c2hhcmUxLmNsb3VkaHEtbWt0My5uZXQvYWExMTY5YzliN2YxYTQ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oxy.imgsmail.ru?e=1661408457&amp;email=imeturoran%40mail.ru&amp;flags=0&amp;h=d7y_bjPA6ghXPFhO1CCODg&amp;is_https=1&amp;url173=c2hhcmUxLmNsb3VkaHEtbWt0My5uZXQvYWExMTY5YzliN2YxYTQuanBlZw~~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E8" w:rsidRDefault="00CE10E8" w:rsidP="00CE10E8">
      <w:pPr>
        <w:pStyle w:val="a3"/>
      </w:pPr>
      <w:r>
        <w:t xml:space="preserve">В прошлом дайджесте проходила информация о   </w:t>
      </w:r>
      <w:hyperlink r:id="rId17" w:tgtFrame="_blank" w:history="1">
        <w:r>
          <w:rPr>
            <w:rStyle w:val="a5"/>
            <w:b/>
            <w:bCs/>
          </w:rPr>
          <w:t>распоряжении правительства</w:t>
        </w:r>
      </w:hyperlink>
      <w:r>
        <w:rPr>
          <w:rStyle w:val="a4"/>
        </w:rPr>
        <w:t xml:space="preserve">, </w:t>
      </w:r>
      <w:r>
        <w:t xml:space="preserve">утвердившем план проведения Десятилетия науки и технологий (ДНТ). </w:t>
      </w:r>
      <w:r>
        <w:br/>
        <w:t xml:space="preserve">В тексте </w:t>
      </w:r>
      <w:hyperlink r:id="rId18" w:tgtFrame="_blank" w:history="1">
        <w:r>
          <w:rPr>
            <w:rStyle w:val="a5"/>
            <w:b/>
            <w:bCs/>
          </w:rPr>
          <w:t>Парады по плану. Чего ждать от Десятилетия науки и технологий</w:t>
        </w:r>
      </w:hyperlink>
      <w:r>
        <w:rPr>
          <w:rStyle w:val="a4"/>
        </w:rPr>
        <w:t xml:space="preserve"> </w:t>
      </w:r>
      <w:r>
        <w:t xml:space="preserve">приводится обзор раздела, касающегося непосредственно ученых – «Вовлечение исследователей и разработчиков в решение важнейших задач страны и общества». Как будут вовлекать? В рамках проекта «Проектирование будущего» исследователей хотят научить «работе с будущим – от формирования прогнозов до развития художественных </w:t>
      </w:r>
      <w:proofErr w:type="gramStart"/>
      <w:r>
        <w:lastRenderedPageBreak/>
        <w:t>образов</w:t>
      </w:r>
      <w:proofErr w:type="gramEnd"/>
      <w:r>
        <w:t xml:space="preserve"> будущего в различных форматах», а в процессе реализации программы «Работа с опытом» – «анализу и практическому использованию опыта научно-технологического развития России». Две инициативы – «Площадки для взаимодействия науки, бизнеса, государства и общества» и «Решения и сервисы для профессионального сообщества» – нацелены на «структурирование существующих подходов». Проект «Снова в школу» призван обеспечить «интеграцию, систематизацию и масштабирование сезонных школ для молодых ученых, преподавателей, аспирантов и студентов». </w:t>
      </w:r>
      <w:r>
        <w:br/>
        <w:t xml:space="preserve">Собственно, про науку это все. Ожидавшееся учеными повышение господдержки в планах не значится. </w:t>
      </w:r>
    </w:p>
    <w:p w:rsidR="00CE10E8" w:rsidRDefault="00CE10E8" w:rsidP="00CE10E8">
      <w:pPr>
        <w:pStyle w:val="a3"/>
      </w:pPr>
      <w:r>
        <w:t xml:space="preserve">Серьезных изменений в организации исследований план Десятилетия явно не сулит. Упор сделан на рекламу парадной стороны науки. Можно ожидать, что сливки с этой </w:t>
      </w:r>
      <w:proofErr w:type="gramStart"/>
      <w:r>
        <w:t>пиар-кампании</w:t>
      </w:r>
      <w:proofErr w:type="gramEnd"/>
      <w:r>
        <w:t xml:space="preserve"> снимут близкие к власти коммерческие структуры.  </w:t>
      </w:r>
    </w:p>
    <w:p w:rsidR="00CE10E8" w:rsidRDefault="00CE10E8" w:rsidP="00CE10E8">
      <w:r>
        <w:pict>
          <v:rect id="_x0000_i1029" style="width:0;height:1.5pt" o:hralign="center" o:hrstd="t" o:hr="t" fillcolor="#a0a0a0" stroked="f"/>
        </w:pict>
      </w:r>
    </w:p>
    <w:p w:rsidR="00CE10E8" w:rsidRDefault="00CE10E8" w:rsidP="00CE10E8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В гору</w:t>
      </w:r>
      <w:r>
        <w:rPr>
          <w:color w:val="993366"/>
          <w:sz w:val="36"/>
          <w:szCs w:val="36"/>
        </w:rPr>
        <w:t xml:space="preserve">? </w:t>
      </w:r>
      <w:r>
        <w:br/>
      </w:r>
      <w:r>
        <w:br/>
      </w:r>
      <w:r>
        <w:rPr>
          <w:noProof/>
        </w:rPr>
        <w:drawing>
          <wp:inline distT="0" distB="0" distL="0" distR="0">
            <wp:extent cx="2783840" cy="2102485"/>
            <wp:effectExtent l="0" t="0" r="0" b="0"/>
            <wp:docPr id="1" name="Рисунок 1" descr="https://proxy.imgsmail.ru?e=1661408457&amp;email=imeturoran%40mail.ru&amp;flags=0&amp;h=q7HZzHm425Dy_mkK7QH42Q&amp;is_https=1&amp;url173=c2hhcmUxLmNsb3VkaHEtbWt0My5uZXQvM2Y5NTM5Zjc5OGI5MGM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roxy.imgsmail.ru?e=1661408457&amp;email=imeturoran%40mail.ru&amp;flags=0&amp;h=q7HZzHm425Dy_mkK7QH42Q&amp;is_https=1&amp;url173=c2hhcmUxLmNsb3VkaHEtbWt0My5uZXQvM2Y5NTM5Zjc5OGI5MGMucG5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E8" w:rsidRDefault="00CE10E8" w:rsidP="00CE10E8">
      <w:pPr>
        <w:pStyle w:val="a3"/>
      </w:pPr>
      <w:r>
        <w:t xml:space="preserve">Вышел указ президента </w:t>
      </w:r>
      <w:r>
        <w:rPr>
          <w:rStyle w:val="a4"/>
        </w:rPr>
        <w:t xml:space="preserve">« </w:t>
      </w:r>
      <w:hyperlink r:id="rId20" w:tgtFrame="_blank" w:history="1">
        <w:r>
          <w:rPr>
            <w:rStyle w:val="a5"/>
            <w:b/>
            <w:bCs/>
          </w:rPr>
          <w:t>О государственных научных центрах».</w:t>
        </w:r>
      </w:hyperlink>
      <w:r>
        <w:rPr>
          <w:rStyle w:val="a4"/>
        </w:rPr>
        <w:t xml:space="preserve"> </w:t>
      </w:r>
      <w:r>
        <w:t xml:space="preserve">Видимо роль этих структур «практической науки», как они именуются на </w:t>
      </w:r>
      <w:hyperlink r:id="rId21" w:tgtFrame="_blank" w:history="1">
        <w:r>
          <w:rPr>
            <w:rStyle w:val="a5"/>
            <w:b/>
            <w:bCs/>
          </w:rPr>
          <w:t>сайте Ассоциации ГНЦ</w:t>
        </w:r>
      </w:hyperlink>
      <w:proofErr w:type="gramStart"/>
      <w:r>
        <w:rPr>
          <w:rStyle w:val="a4"/>
        </w:rPr>
        <w:t xml:space="preserve"> </w:t>
      </w:r>
      <w:r>
        <w:t>,</w:t>
      </w:r>
      <w:proofErr w:type="gramEnd"/>
      <w:r>
        <w:t xml:space="preserve">  предполагается повышать. По информации с сайта всего их сегодня 44 – по 17 учреждений </w:t>
      </w:r>
      <w:proofErr w:type="gramStart"/>
      <w:r>
        <w:t>и АО и</w:t>
      </w:r>
      <w:proofErr w:type="gramEnd"/>
      <w:r>
        <w:t xml:space="preserve"> 10 ФГУП. Правительству РФ в трехмесячный срок предписано утвердить новый порядок присвоения, сохранения и прекращения статуса ГНЦ и определить (скорректировать) меры государственной поддержки. </w:t>
      </w:r>
    </w:p>
    <w:p w:rsidR="001454AD" w:rsidRPr="00CE10E8" w:rsidRDefault="001454AD" w:rsidP="00CE10E8">
      <w:bookmarkStart w:id="0" w:name="_GoBack"/>
      <w:bookmarkEnd w:id="0"/>
    </w:p>
    <w:sectPr w:rsidR="001454AD" w:rsidRPr="00CE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5D"/>
    <w:rsid w:val="000D193D"/>
    <w:rsid w:val="00126282"/>
    <w:rsid w:val="001454AD"/>
    <w:rsid w:val="00306C5D"/>
    <w:rsid w:val="003D0385"/>
    <w:rsid w:val="004459E6"/>
    <w:rsid w:val="007C7680"/>
    <w:rsid w:val="00BA0340"/>
    <w:rsid w:val="00CE10E8"/>
    <w:rsid w:val="00E43FFA"/>
    <w:rsid w:val="00F4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pc.ru/document/1660295585.html" TargetMode="External"/><Relationship Id="rId13" Type="http://schemas.openxmlformats.org/officeDocument/2006/relationships/hyperlink" Target="https://issek.hse.ru/news/707347228.html" TargetMode="External"/><Relationship Id="rId18" Type="http://schemas.openxmlformats.org/officeDocument/2006/relationships/hyperlink" Target="https://poisknews.ru/magazine/parady-po-plan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gnc.ru/" TargetMode="External"/><Relationship Id="rId7" Type="http://schemas.openxmlformats.org/officeDocument/2006/relationships/hyperlink" Target="https://new.ras.ru/activities/news/molodezhnaya-komissiya-tss-profsoyuza-napravila-pismo-v-rossiyskiy-nauchnyy-fond/" TargetMode="External"/><Relationship Id="rId12" Type="http://schemas.openxmlformats.org/officeDocument/2006/relationships/hyperlink" Target="https://cloud.mail.ru/public/4jz6/PN5hkq1Wv" TargetMode="External"/><Relationship Id="rId17" Type="http://schemas.openxmlformats.org/officeDocument/2006/relationships/hyperlink" Target="http://government.ru/news/46130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hyperlink" Target="http://kremlin.ru/acts/news/6915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loud.mail.ru/public/dqw6/PEZP3CPG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ew.ras.ru/activities/news/robert-nigmatulin-prezident-akademii-nauk-dolzhen-byt-gosudarstvennym-deyatele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oisknews.ru/ran/akademicheskij-profsoyuz-vystupil-protiv-sokrashheniya-byudzheta-nauki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2022-06-22T04:24:00Z</dcterms:created>
  <dcterms:modified xsi:type="dcterms:W3CDTF">2022-08-22T06:21:00Z</dcterms:modified>
</cp:coreProperties>
</file>